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43B43">
      <w:pPr>
        <w:pStyle w:val="6"/>
        <w:jc w:val="left"/>
        <w:rPr>
          <w:rFonts w:hint="eastAsia" w:ascii="仿宋_GB2312" w:hAnsi="仿宋_GB2312" w:eastAsia="仿宋_GB2312" w:cs="仿宋_GB2312"/>
          <w:b w:val="0"/>
          <w:bCs/>
          <w:color w:val="auto"/>
          <w:sz w:val="32"/>
          <w:szCs w:val="32"/>
          <w:lang w:val="en-US" w:eastAsia="zh-CN"/>
        </w:rPr>
      </w:pPr>
      <w:bookmarkStart w:id="0" w:name="_GoBack"/>
      <w:r>
        <w:rPr>
          <w:rFonts w:hint="eastAsia" w:ascii="仿宋_GB2312" w:hAnsi="仿宋_GB2312" w:eastAsia="仿宋_GB2312" w:cs="仿宋_GB2312"/>
          <w:b w:val="0"/>
          <w:bCs/>
          <w:color w:val="auto"/>
          <w:sz w:val="32"/>
          <w:szCs w:val="32"/>
          <w:lang w:val="en-US" w:eastAsia="zh-CN"/>
        </w:rPr>
        <w:t>附件2：</w:t>
      </w:r>
    </w:p>
    <w:p w14:paraId="18A97084">
      <w:pPr>
        <w:pStyle w:val="6"/>
        <w:jc w:val="center"/>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A包技术参数要求</w:t>
      </w:r>
    </w:p>
    <w:p w14:paraId="42D159C5">
      <w:pPr>
        <w:pStyle w:val="6"/>
        <w:rPr>
          <w:rFonts w:hint="eastAsia"/>
          <w:color w:val="auto"/>
          <w:lang w:val="en-US" w:eastAsia="zh-CN"/>
        </w:rPr>
      </w:pPr>
    </w:p>
    <w:p w14:paraId="01784BCD">
      <w:pPr>
        <w:pStyle w:val="6"/>
        <w:keepNext w:val="0"/>
        <w:keepLines w:val="0"/>
        <w:pageBreakBefore w:val="0"/>
        <w:widowControl w:val="0"/>
        <w:kinsoku w:val="0"/>
        <w:wordWrap/>
        <w:overflowPunct w:val="0"/>
        <w:topLinePunct w:val="0"/>
        <w:autoSpaceDE/>
        <w:autoSpaceDN/>
        <w:bidi w:val="0"/>
        <w:adjustRightInd/>
        <w:spacing w:line="56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一、</w:t>
      </w:r>
      <w:r>
        <w:rPr>
          <w:rFonts w:hint="eastAsia" w:ascii="黑体" w:hAnsi="黑体" w:eastAsia="黑体" w:cs="黑体"/>
          <w:b w:val="0"/>
          <w:bCs/>
          <w:color w:val="auto"/>
          <w:sz w:val="32"/>
          <w:szCs w:val="32"/>
        </w:rPr>
        <w:t>低中频治疗仪</w:t>
      </w:r>
    </w:p>
    <w:p w14:paraId="40C9B4C7">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功能及适用范围：低频适用于兴奋神经肌肉组织，可促进局部血液循环，放松局部肌肉，达到消炎、消肿、镇痛的目的</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；中频适用于对肌炎、骨折延迟愈合、具有改善血液循环，消炎作用；对瘢痕、瘢痕挛缩、术后粘连、肠粘连、炎症后硬化、狭窄性腱鞘炎、注射后硬结、血肿机化具有软化瘢痕、松解粘连的作用</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对颈椎病、腰椎间盘突出症、退行性骨性关节病、风湿性关节炎、类风湿关节炎、坐骨神经痛、周围神经伤病、关节挛缩具有消炎和镇痛作用。</w:t>
      </w:r>
    </w:p>
    <w:p w14:paraId="115E079A">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系统由主机、低频电刺激模块、低频电刺激基座、中频电极线和电极贴片</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组成，系统可实现中频与低频两种电刺激功能，可单独或同时使用，便于临床根据患者需求选择使用。</w:t>
      </w:r>
    </w:p>
    <w:p w14:paraId="64112A73">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主机部分有把手结构，支持手提便携，易于移动至床旁使用。</w:t>
      </w:r>
    </w:p>
    <w:p w14:paraId="2767CC95">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主机具备≥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英寸触屏操作液晶显示屏，分辨率</w:t>
      </w:r>
      <w:r>
        <w:rPr>
          <w:rFonts w:hint="eastAsia" w:ascii="仿宋_GB2312" w:hAnsi="仿宋_GB2312" w:eastAsia="仿宋_GB2312" w:cs="仿宋_GB2312"/>
          <w:color w:val="auto"/>
          <w:sz w:val="32"/>
          <w:szCs w:val="32"/>
          <w:lang w:val="en-US" w:eastAsia="zh-CN"/>
        </w:rPr>
        <w:t>不低于</w:t>
      </w:r>
      <w:r>
        <w:rPr>
          <w:rFonts w:hint="eastAsia" w:ascii="仿宋_GB2312" w:hAnsi="仿宋_GB2312" w:eastAsia="仿宋_GB2312" w:cs="仿宋_GB2312"/>
          <w:color w:val="auto"/>
          <w:sz w:val="32"/>
          <w:szCs w:val="32"/>
        </w:rPr>
        <w:t>1280*800</w:t>
      </w:r>
      <w:r>
        <w:rPr>
          <w:rFonts w:hint="eastAsia" w:ascii="仿宋_GB2312" w:hAnsi="仿宋_GB2312" w:eastAsia="仿宋_GB2312" w:cs="仿宋_GB2312"/>
          <w:color w:val="auto"/>
          <w:sz w:val="32"/>
          <w:szCs w:val="32"/>
          <w:lang w:val="en-US" w:eastAsia="zh-CN"/>
        </w:rPr>
        <w:t>或同等清晰度的显示效果。</w:t>
      </w:r>
    </w:p>
    <w:p w14:paraId="730C1D82">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主机部分具有4个独立中频输出通道，可以显示频率、脉宽、波形和通断时间</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w:t>
      </w:r>
    </w:p>
    <w:p w14:paraId="7B9950B0">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系统可同时给≥</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个低频电刺激模块配置处方，每个低频电刺激模块可作为1个独立低频通道使用，支持≥</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通道低频电刺激治疗。</w:t>
      </w:r>
    </w:p>
    <w:p w14:paraId="2D091168">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低频电刺激模块体积小巧且方便携带，可在病区床上使用。</w:t>
      </w:r>
    </w:p>
    <w:p w14:paraId="1ABFBB77">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低频电刺激模块内置电池，续航时间≥4小时。</w:t>
      </w:r>
    </w:p>
    <w:p w14:paraId="7EA8B408">
      <w:pPr>
        <w:pStyle w:val="2"/>
        <w:keepNext w:val="0"/>
        <w:keepLines w:val="0"/>
        <w:pageBreakBefore w:val="0"/>
        <w:widowControl/>
        <w:suppressLineNumbers w:val="0"/>
        <w:wordWrap/>
        <w:topLinePunct w:val="0"/>
        <w:autoSpaceDE/>
        <w:autoSpaceDN/>
        <w:bidi w:val="0"/>
        <w:adjustRightInd/>
        <w:spacing w:before="0" w:beforeAutospacing="0" w:after="0" w:afterAutospacing="0"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SA"/>
        </w:rPr>
        <w:t>9.</w:t>
      </w:r>
      <w:r>
        <w:rPr>
          <w:rFonts w:hint="eastAsia" w:ascii="仿宋_GB2312" w:hAnsi="仿宋_GB2312" w:eastAsia="仿宋_GB2312" w:cs="仿宋_GB2312"/>
          <w:color w:val="auto"/>
          <w:kern w:val="0"/>
          <w:sz w:val="32"/>
          <w:szCs w:val="32"/>
          <w:lang w:val="en-US" w:eastAsia="uk-UA" w:bidi="ar-SA"/>
        </w:rPr>
        <w:t>主机具备对低频电刺激模块进行统一充电和治疗方案配置管理的功能，可通过基座、直连接口或无线等方式实现。</w:t>
      </w:r>
    </w:p>
    <w:p w14:paraId="1D0D20B6">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10.配置好治疗方案的低频电刺激模块，可以脱离主机独立使用，在有效通信范围内实现移动场景下的低频治疗，有效通信范围应满足常规病区使用需求。</w:t>
      </w:r>
    </w:p>
    <w:p w14:paraId="0CA8629F">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低频电刺激模块可通过触摸屏或旋钮调节，实现启停治疗、调节治疗强度、治疗时间结束后自动停止功能。</w:t>
      </w:r>
    </w:p>
    <w:p w14:paraId="7A4C1EEB">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12.配有导联线连接件，可兼容常用电极片使用。</w:t>
      </w:r>
    </w:p>
    <w:p w14:paraId="41F3591E">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可选配多种电极片：重复使用绑带式电极贴片、可裁剪分体式贴片、重复使用海绵吸盘贴片、吞咽电极片等，或功能等效的其他类型电极片。</w:t>
      </w:r>
    </w:p>
    <w:p w14:paraId="4261E99C">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主机预置中频治疗方案数≥10个，低频治疗方案数≥30个。</w:t>
      </w:r>
    </w:p>
    <w:p w14:paraId="29DDC49A">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各治疗方案可查看预设参数，便于分析患者疗效。</w:t>
      </w:r>
    </w:p>
    <w:p w14:paraId="0B707135">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w:t>
      </w:r>
      <w:r>
        <w:rPr>
          <w:rFonts w:hint="eastAsia" w:ascii="仿宋_GB2312" w:hAnsi="仿宋_GB2312" w:eastAsia="仿宋_GB2312" w:cs="仿宋_GB2312"/>
          <w:color w:val="auto"/>
          <w:sz w:val="32"/>
          <w:szCs w:val="32"/>
        </w:rPr>
        <w:t>主机软件具备一键配置一个或多个低频电刺激模块的功能，便于医护人员快速设置治疗处方。</w:t>
      </w:r>
    </w:p>
    <w:p w14:paraId="1D4F2CF8">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软件内置各治疗方案的电极贴片位置示意图，指导用户准确使用。</w:t>
      </w:r>
    </w:p>
    <w:p w14:paraId="62B9A67C">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主机软件具备自定义治疗方案功能，包括中、低频频率、波型、脉宽和治疗通断时间等参数。</w:t>
      </w:r>
    </w:p>
    <w:p w14:paraId="0595919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仿宋_GB2312" w:hAnsi="仿宋_GB2312" w:eastAsia="仿宋_GB2312" w:cs="仿宋_GB2312"/>
          <w:color w:val="auto"/>
          <w:kern w:val="0"/>
          <w:sz w:val="32"/>
          <w:szCs w:val="32"/>
          <w:lang w:val="en-US" w:eastAsia="uk-UA" w:bidi="ar-SA"/>
        </w:rPr>
      </w:pPr>
      <w:r>
        <w:rPr>
          <w:rFonts w:hint="eastAsia" w:ascii="仿宋_GB2312" w:hAnsi="仿宋_GB2312" w:eastAsia="仿宋_GB2312" w:cs="仿宋_GB2312"/>
          <w:color w:val="auto"/>
          <w:kern w:val="0"/>
          <w:sz w:val="32"/>
          <w:szCs w:val="32"/>
          <w:lang w:val="en-US" w:eastAsia="zh-CN" w:bidi="ar-SA"/>
        </w:rPr>
        <w:t>19</w:t>
      </w:r>
      <w:r>
        <w:rPr>
          <w:rFonts w:hint="eastAsia" w:ascii="仿宋_GB2312" w:hAnsi="仿宋_GB2312" w:eastAsia="仿宋_GB2312" w:cs="仿宋_GB2312"/>
          <w:color w:val="auto"/>
          <w:kern w:val="0"/>
          <w:sz w:val="32"/>
          <w:szCs w:val="32"/>
          <w:lang w:val="en-US" w:eastAsia="uk-UA" w:bidi="ar-SA"/>
        </w:rPr>
        <w:t>.低频治疗可调范围：1Hz～150Hz，脉宽 20 μs～410 μs， 波形种类：方波、正弦波、三角波等，可调节强度不少于30档或支持连续可调。</w:t>
      </w:r>
    </w:p>
    <w:p w14:paraId="1EC1092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仿宋_GB2312" w:hAnsi="仿宋_GB2312" w:eastAsia="仿宋_GB2312" w:cs="仿宋_GB2312"/>
          <w:color w:val="auto"/>
          <w:kern w:val="0"/>
          <w:sz w:val="32"/>
          <w:szCs w:val="32"/>
          <w:lang w:val="en-US" w:eastAsia="uk-UA" w:bidi="ar-SA"/>
        </w:rPr>
      </w:pPr>
      <w:r>
        <w:rPr>
          <w:rFonts w:hint="eastAsia" w:ascii="仿宋_GB2312" w:hAnsi="仿宋_GB2312" w:eastAsia="仿宋_GB2312" w:cs="仿宋_GB2312"/>
          <w:color w:val="auto"/>
          <w:kern w:val="0"/>
          <w:sz w:val="32"/>
          <w:szCs w:val="32"/>
          <w:lang w:val="en-US" w:eastAsia="uk-UA" w:bidi="ar-SA"/>
        </w:rPr>
        <w:t>2</w:t>
      </w:r>
      <w:r>
        <w:rPr>
          <w:rFonts w:hint="eastAsia" w:ascii="仿宋_GB2312" w:hAnsi="仿宋_GB2312" w:eastAsia="仿宋_GB2312" w:cs="仿宋_GB2312"/>
          <w:color w:val="auto"/>
          <w:kern w:val="0"/>
          <w:sz w:val="32"/>
          <w:szCs w:val="32"/>
          <w:lang w:val="en-US" w:eastAsia="zh-CN" w:bidi="ar-SA"/>
        </w:rPr>
        <w:t>0</w:t>
      </w:r>
      <w:r>
        <w:rPr>
          <w:rFonts w:hint="eastAsia" w:ascii="仿宋_GB2312" w:hAnsi="仿宋_GB2312" w:eastAsia="仿宋_GB2312" w:cs="仿宋_GB2312"/>
          <w:color w:val="auto"/>
          <w:kern w:val="0"/>
          <w:sz w:val="32"/>
          <w:szCs w:val="32"/>
          <w:lang w:val="en-US" w:eastAsia="uk-UA" w:bidi="ar-SA"/>
        </w:rPr>
        <w:t>.中频治疗可调范围：1kHz～10kHz，脉宽 20 μ s～100 μ s，波形种类：方波、正弦波、三角波等，可调节强度不少于20档或支持连续可调。</w:t>
      </w:r>
    </w:p>
    <w:p w14:paraId="648098C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仿宋_GB2312" w:hAnsi="仿宋_GB2312" w:eastAsia="仿宋_GB2312" w:cs="仿宋_GB2312"/>
          <w:color w:val="auto"/>
          <w:kern w:val="0"/>
          <w:sz w:val="32"/>
          <w:szCs w:val="32"/>
          <w:lang w:val="en-US" w:eastAsia="uk-UA" w:bidi="ar-SA"/>
        </w:rPr>
      </w:pPr>
      <w:r>
        <w:rPr>
          <w:rFonts w:hint="eastAsia" w:ascii="仿宋_GB2312" w:hAnsi="仿宋_GB2312" w:eastAsia="仿宋_GB2312" w:cs="仿宋_GB2312"/>
          <w:color w:val="auto"/>
          <w:kern w:val="0"/>
          <w:sz w:val="32"/>
          <w:szCs w:val="32"/>
          <w:lang w:val="en-US" w:eastAsia="uk-UA" w:bidi="ar-SA"/>
        </w:rPr>
        <w:t>2</w:t>
      </w:r>
      <w:r>
        <w:rPr>
          <w:rFonts w:hint="eastAsia" w:ascii="仿宋_GB2312" w:hAnsi="仿宋_GB2312" w:eastAsia="仿宋_GB2312" w:cs="仿宋_GB2312"/>
          <w:color w:val="auto"/>
          <w:kern w:val="0"/>
          <w:sz w:val="32"/>
          <w:szCs w:val="32"/>
          <w:lang w:val="en-US" w:eastAsia="zh-CN" w:bidi="ar-SA"/>
        </w:rPr>
        <w:t>1</w:t>
      </w:r>
      <w:r>
        <w:rPr>
          <w:rFonts w:hint="eastAsia" w:ascii="仿宋_GB2312" w:hAnsi="仿宋_GB2312" w:eastAsia="仿宋_GB2312" w:cs="仿宋_GB2312"/>
          <w:color w:val="auto"/>
          <w:kern w:val="0"/>
          <w:sz w:val="32"/>
          <w:szCs w:val="32"/>
          <w:lang w:val="en-US" w:eastAsia="uk-UA" w:bidi="ar-SA"/>
        </w:rPr>
        <w:t>.中频治疗强度可通过触摸屏、物理旋钮、按键或其他等效方式调节。</w:t>
      </w:r>
    </w:p>
    <w:p w14:paraId="474F38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仿宋_GB2312" w:hAnsi="仿宋_GB2312" w:eastAsia="仿宋_GB2312" w:cs="仿宋_GB2312"/>
          <w:color w:val="auto"/>
          <w:kern w:val="0"/>
          <w:sz w:val="32"/>
          <w:szCs w:val="32"/>
          <w:lang w:val="en-US" w:eastAsia="uk-UA" w:bidi="ar-SA"/>
        </w:rPr>
      </w:pPr>
      <w:r>
        <w:rPr>
          <w:rFonts w:hint="eastAsia" w:ascii="仿宋_GB2312" w:hAnsi="仿宋_GB2312" w:eastAsia="仿宋_GB2312" w:cs="仿宋_GB2312"/>
          <w:color w:val="auto"/>
          <w:kern w:val="0"/>
          <w:sz w:val="32"/>
          <w:szCs w:val="32"/>
          <w:lang w:val="en-US" w:eastAsia="uk-UA" w:bidi="ar-SA"/>
        </w:rPr>
        <w:t>2</w:t>
      </w:r>
      <w:r>
        <w:rPr>
          <w:rFonts w:hint="eastAsia" w:ascii="仿宋_GB2312" w:hAnsi="仿宋_GB2312" w:eastAsia="仿宋_GB2312" w:cs="仿宋_GB2312"/>
          <w:color w:val="auto"/>
          <w:kern w:val="0"/>
          <w:sz w:val="32"/>
          <w:szCs w:val="32"/>
          <w:lang w:val="en-US" w:eastAsia="zh-CN" w:bidi="ar-SA"/>
        </w:rPr>
        <w:t>2</w:t>
      </w:r>
      <w:r>
        <w:rPr>
          <w:rFonts w:hint="eastAsia" w:ascii="仿宋_GB2312" w:hAnsi="仿宋_GB2312" w:eastAsia="仿宋_GB2312" w:cs="仿宋_GB2312"/>
          <w:color w:val="auto"/>
          <w:kern w:val="0"/>
          <w:sz w:val="32"/>
          <w:szCs w:val="32"/>
          <w:lang w:val="en-US" w:eastAsia="uk-UA" w:bidi="ar-SA"/>
        </w:rPr>
        <w:t>.治疗时间默认可设置，可调范围：1～60 分钟，调整范围内的参数为数字式连续可调。</w:t>
      </w:r>
    </w:p>
    <w:p w14:paraId="7179899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640" w:firstLineChars="200"/>
        <w:jc w:val="left"/>
        <w:textAlignment w:val="auto"/>
        <w:rPr>
          <w:rFonts w:hint="eastAsia" w:ascii="仿宋_GB2312" w:hAnsi="仿宋_GB2312" w:eastAsia="仿宋_GB2312" w:cs="仿宋_GB2312"/>
          <w:color w:val="auto"/>
          <w:kern w:val="0"/>
          <w:sz w:val="32"/>
          <w:szCs w:val="32"/>
          <w:lang w:val="en-US" w:eastAsia="uk-UA" w:bidi="ar-SA"/>
        </w:rPr>
      </w:pPr>
      <w:r>
        <w:rPr>
          <w:rFonts w:hint="eastAsia" w:ascii="仿宋_GB2312" w:hAnsi="仿宋_GB2312" w:eastAsia="仿宋_GB2312" w:cs="仿宋_GB2312"/>
          <w:color w:val="auto"/>
          <w:kern w:val="0"/>
          <w:sz w:val="32"/>
          <w:szCs w:val="32"/>
          <w:lang w:val="en-US" w:eastAsia="uk-UA" w:bidi="ar-SA"/>
        </w:rPr>
        <w:t>2</w:t>
      </w:r>
      <w:r>
        <w:rPr>
          <w:rFonts w:hint="eastAsia" w:ascii="仿宋_GB2312" w:hAnsi="仿宋_GB2312" w:eastAsia="仿宋_GB2312" w:cs="仿宋_GB2312"/>
          <w:color w:val="auto"/>
          <w:kern w:val="0"/>
          <w:sz w:val="32"/>
          <w:szCs w:val="32"/>
          <w:lang w:val="en-US" w:eastAsia="zh-CN" w:bidi="ar-SA"/>
        </w:rPr>
        <w:t>3</w:t>
      </w:r>
      <w:r>
        <w:rPr>
          <w:rFonts w:hint="eastAsia" w:ascii="仿宋_GB2312" w:hAnsi="仿宋_GB2312" w:eastAsia="仿宋_GB2312" w:cs="仿宋_GB2312"/>
          <w:color w:val="auto"/>
          <w:kern w:val="0"/>
          <w:sz w:val="32"/>
          <w:szCs w:val="32"/>
          <w:lang w:val="en-US" w:eastAsia="uk-UA" w:bidi="ar-SA"/>
        </w:rPr>
        <w:t>.电刺激治疗通断时间均可在 1～60s 自由调节，满足患者个性化治疗处方的设置。</w:t>
      </w:r>
    </w:p>
    <w:p w14:paraId="3C519CAD">
      <w:pPr>
        <w:keepNext w:val="0"/>
        <w:keepLines w:val="0"/>
        <w:pageBreakBefore w:val="0"/>
        <w:widowControl w:val="0"/>
        <w:kinsoku w:val="0"/>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配置清单：</w:t>
      </w:r>
    </w:p>
    <w:p w14:paraId="292E9BEC">
      <w:pPr>
        <w:keepNext w:val="0"/>
        <w:keepLines w:val="0"/>
        <w:pageBreakBefore w:val="0"/>
        <w:widowControl w:val="0"/>
        <w:numPr>
          <w:ilvl w:val="0"/>
          <w:numId w:val="0"/>
        </w:numPr>
        <w:kinsoku w:val="0"/>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1.主机1台；</w:t>
      </w:r>
    </w:p>
    <w:p w14:paraId="12E84F5C">
      <w:pPr>
        <w:keepNext w:val="0"/>
        <w:keepLines w:val="0"/>
        <w:pageBreakBefore w:val="0"/>
        <w:widowControl w:val="0"/>
        <w:numPr>
          <w:ilvl w:val="0"/>
          <w:numId w:val="0"/>
        </w:numPr>
        <w:kinsoku w:val="0"/>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2.低频电刺激模块</w:t>
      </w:r>
      <w:r>
        <w:rPr>
          <w:rFonts w:hint="default" w:ascii="Arial" w:hAnsi="Arial" w:eastAsia="仿宋_GB2312" w:cs="Arial"/>
          <w:color w:val="auto"/>
          <w:sz w:val="32"/>
          <w:szCs w:val="32"/>
          <w:lang w:val="en-US" w:eastAsia="zh-CN"/>
        </w:rPr>
        <w:t>≥</w:t>
      </w:r>
      <w:r>
        <w:rPr>
          <w:rFonts w:hint="eastAsia" w:ascii="仿宋_GB2312" w:hAnsi="仿宋_GB2312" w:eastAsia="仿宋_GB2312" w:cs="仿宋_GB2312"/>
          <w:color w:val="auto"/>
          <w:sz w:val="32"/>
          <w:szCs w:val="32"/>
          <w:lang w:val="en-US" w:eastAsia="zh-CN"/>
        </w:rPr>
        <w:t>12个；</w:t>
      </w:r>
    </w:p>
    <w:p w14:paraId="21471150">
      <w:pPr>
        <w:keepNext w:val="0"/>
        <w:keepLines w:val="0"/>
        <w:pageBreakBefore w:val="0"/>
        <w:widowControl w:val="0"/>
        <w:numPr>
          <w:ilvl w:val="0"/>
          <w:numId w:val="0"/>
        </w:numPr>
        <w:kinsoku w:val="0"/>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3.低频电刺激基座1个；</w:t>
      </w:r>
    </w:p>
    <w:p w14:paraId="609ABF19">
      <w:pPr>
        <w:keepNext w:val="0"/>
        <w:keepLines w:val="0"/>
        <w:pageBreakBefore w:val="0"/>
        <w:widowControl w:val="0"/>
        <w:numPr>
          <w:ilvl w:val="0"/>
          <w:numId w:val="0"/>
        </w:numPr>
        <w:kinsoku w:val="0"/>
        <w:wordWrap/>
        <w:overflowPunct w:val="0"/>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4.中频电极线和电极贴片一套；</w:t>
      </w:r>
    </w:p>
    <w:p w14:paraId="724FA2E4">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5.工作系统</w:t>
      </w:r>
      <w:r>
        <w:rPr>
          <w:rFonts w:hint="eastAsia" w:ascii="仿宋_GB2312" w:hAnsi="仿宋_GB2312" w:eastAsia="仿宋_GB2312" w:cs="仿宋_GB2312"/>
          <w:color w:val="auto"/>
          <w:sz w:val="32"/>
          <w:szCs w:val="32"/>
          <w:lang w:val="en-US" w:eastAsia="zh-CN"/>
        </w:rPr>
        <w:t>软件一套。</w:t>
      </w:r>
    </w:p>
    <w:p w14:paraId="3ED6A14A">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二、中频治疗仪（中频电疗仪）</w:t>
      </w:r>
    </w:p>
    <w:p w14:paraId="2C5FBACD">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适用于康复科、骨科、神经科、产后康复等患者的镇痛、神经肌肉康复、促进血液循环与消除炎症水肿、软化瘢痕与松解粘连等。对软组织损伤，颈肩腰腿痛、神经炎、神经痛、周围神经损伤、骨关节病，附件炎、盆腔炎症状具有镇痛和消炎作用，缓解胃下垂、便秘、运动后疲劳；</w:t>
      </w:r>
    </w:p>
    <w:p w14:paraId="7FF1470F">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left="319" w:leftChars="133" w:firstLine="320" w:firstLineChars="1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显示:具备全中文汉字显示；</w:t>
      </w:r>
      <w:r>
        <w:rPr>
          <w:rFonts w:hint="eastAsia" w:ascii="仿宋_GB2312" w:hAnsi="仿宋_GB2312" w:eastAsia="仿宋_GB2312" w:cs="仿宋_GB2312"/>
          <w:b w:val="0"/>
          <w:bCs w:val="0"/>
          <w:color w:val="auto"/>
          <w:sz w:val="32"/>
          <w:szCs w:val="32"/>
        </w:rPr>
        <w:br w:type="textWrapping"/>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输出通道：≥4路中频输出（含透热功能）、≥</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路离子导入输出、≥</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路干扰电</w:t>
      </w:r>
      <w:r>
        <w:rPr>
          <w:rFonts w:hint="eastAsia" w:ascii="仿宋_GB2312" w:hAnsi="仿宋_GB2312" w:eastAsia="仿宋_GB2312" w:cs="仿宋_GB2312"/>
          <w:b w:val="0"/>
          <w:bCs w:val="0"/>
          <w:color w:val="auto"/>
          <w:sz w:val="32"/>
          <w:szCs w:val="32"/>
          <w:lang w:val="en-US" w:eastAsia="zh-CN"/>
        </w:rPr>
        <w:t>疗</w:t>
      </w:r>
      <w:r>
        <w:rPr>
          <w:rFonts w:hint="eastAsia" w:ascii="仿宋_GB2312" w:hAnsi="仿宋_GB2312" w:eastAsia="仿宋_GB2312" w:cs="仿宋_GB2312"/>
          <w:b w:val="0"/>
          <w:bCs w:val="0"/>
          <w:color w:val="auto"/>
          <w:sz w:val="32"/>
          <w:szCs w:val="32"/>
        </w:rPr>
        <w:t>输出</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br w:type="textWrapping"/>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中频频率为</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kHz～</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kHz,单一频率允差±10%</w:t>
      </w:r>
      <w:r>
        <w:rPr>
          <w:rFonts w:hint="eastAsia" w:ascii="仿宋_GB2312" w:hAnsi="仿宋_GB2312" w:eastAsia="仿宋_GB2312" w:cs="仿宋_GB2312"/>
          <w:b w:val="0"/>
          <w:bCs w:val="0"/>
          <w:color w:val="auto"/>
          <w:sz w:val="32"/>
          <w:szCs w:val="32"/>
          <w:lang w:val="en-US" w:eastAsia="zh-CN"/>
        </w:rPr>
        <w:t>；</w:t>
      </w:r>
    </w:p>
    <w:p w14:paraId="371D82A1">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输出电流:最大电流强度≥100mA;</w:t>
      </w:r>
    </w:p>
    <w:p w14:paraId="0F78C2A9">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320" w:firstLineChars="1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输出电流稳定度:输出电流稳定度≤5%;</w:t>
      </w:r>
    </w:p>
    <w:p w14:paraId="485E49BD">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7.调制波形：方波、尖波、三角波、锯齿波、指数波、正弦波、梯形波、脉冲波等标准波形，支持两种及以上波形的组合调制，可程序设定</w:t>
      </w:r>
      <w:r>
        <w:rPr>
          <w:rFonts w:hint="eastAsia" w:ascii="仿宋_GB2312" w:hAnsi="仿宋_GB2312" w:eastAsia="仿宋_GB2312" w:cs="仿宋_GB2312"/>
          <w:b w:val="0"/>
          <w:bCs w:val="0"/>
          <w:color w:val="auto"/>
          <w:sz w:val="32"/>
          <w:szCs w:val="32"/>
        </w:rPr>
        <w:t>；</w:t>
      </w:r>
    </w:p>
    <w:p w14:paraId="055D26BF">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调制方式：连续、断续、间歇、变频、疏密和交替调制</w:t>
      </w:r>
      <w:r>
        <w:rPr>
          <w:rFonts w:hint="eastAsia" w:ascii="仿宋_GB2312" w:hAnsi="仿宋_GB2312" w:eastAsia="仿宋_GB2312" w:cs="仿宋_GB2312"/>
          <w:b w:val="0"/>
          <w:bCs w:val="0"/>
          <w:color w:val="auto"/>
          <w:sz w:val="32"/>
          <w:szCs w:val="32"/>
          <w:lang w:val="en-US" w:eastAsia="zh-CN"/>
        </w:rPr>
        <w:t>等</w:t>
      </w:r>
      <w:r>
        <w:rPr>
          <w:rFonts w:hint="eastAsia" w:ascii="仿宋_GB2312" w:hAnsi="仿宋_GB2312" w:eastAsia="仿宋_GB2312" w:cs="仿宋_GB2312"/>
          <w:b w:val="0"/>
          <w:bCs w:val="0"/>
          <w:color w:val="auto"/>
          <w:sz w:val="32"/>
          <w:szCs w:val="32"/>
        </w:rPr>
        <w:t>；</w:t>
      </w:r>
    </w:p>
    <w:p w14:paraId="4F22D225">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b w:val="0"/>
          <w:bCs w:val="0"/>
          <w:color w:val="auto"/>
          <w:sz w:val="32"/>
          <w:szCs w:val="32"/>
        </w:rPr>
        <w:t>调幅度:0-100%</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允差±5%</w:t>
      </w:r>
      <w:r>
        <w:rPr>
          <w:rFonts w:hint="eastAsia" w:ascii="仿宋_GB2312" w:hAnsi="仿宋_GB2312" w:eastAsia="仿宋_GB2312" w:cs="仿宋_GB2312"/>
          <w:b w:val="0"/>
          <w:bCs w:val="0"/>
          <w:color w:val="auto"/>
          <w:sz w:val="32"/>
          <w:szCs w:val="32"/>
          <w:lang w:val="en-US" w:eastAsia="zh-CN"/>
        </w:rPr>
        <w:t>；</w:t>
      </w:r>
    </w:p>
    <w:p w14:paraId="1E65D4E6">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差频频率:最大差频频率≥100Hz</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误差：不超过±10%;</w:t>
      </w:r>
    </w:p>
    <w:p w14:paraId="2ACAED4C">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rPr>
        <w:t>动态节律:干扰电的动态节律8s±1s;</w:t>
      </w:r>
    </w:p>
    <w:p w14:paraId="16600656">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rPr>
        <w:t>差频变化周期:干扰电的差频变化周期10-30s;</w:t>
      </w:r>
    </w:p>
    <w:p w14:paraId="1930A130">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320" w:firstLineChars="1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13.</w:t>
      </w:r>
      <w:r>
        <w:rPr>
          <w:rFonts w:hint="eastAsia" w:ascii="仿宋_GB2312" w:hAnsi="仿宋_GB2312" w:eastAsia="仿宋_GB2312" w:cs="仿宋_GB2312"/>
          <w:b w:val="0"/>
          <w:bCs w:val="0"/>
          <w:color w:val="auto"/>
          <w:sz w:val="32"/>
          <w:szCs w:val="32"/>
        </w:rPr>
        <w:t>具有≥100个固定处方</w:t>
      </w:r>
      <w:r>
        <w:rPr>
          <w:rFonts w:hint="eastAsia" w:ascii="仿宋_GB2312" w:hAnsi="仿宋_GB2312" w:eastAsia="仿宋_GB2312" w:cs="仿宋_GB2312"/>
          <w:b w:val="0"/>
          <w:bCs w:val="0"/>
          <w:color w:val="auto"/>
          <w:sz w:val="32"/>
          <w:szCs w:val="32"/>
          <w:lang w:val="en-US" w:eastAsia="zh-CN"/>
        </w:rPr>
        <w:t>；</w:t>
      </w:r>
    </w:p>
    <w:p w14:paraId="2F5A4221">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14.</w:t>
      </w:r>
      <w:r>
        <w:rPr>
          <w:rFonts w:hint="eastAsia" w:ascii="仿宋_GB2312" w:hAnsi="仿宋_GB2312" w:eastAsia="仿宋_GB2312" w:cs="仿宋_GB2312"/>
          <w:b w:val="0"/>
          <w:bCs w:val="0"/>
          <w:color w:val="auto"/>
          <w:sz w:val="32"/>
          <w:szCs w:val="32"/>
        </w:rPr>
        <w:t>输出电流稳定度：不同负载下的输出电流变化率应≦10%</w:t>
      </w:r>
      <w:r>
        <w:rPr>
          <w:rFonts w:hint="eastAsia" w:ascii="仿宋_GB2312" w:hAnsi="仿宋_GB2312" w:eastAsia="仿宋_GB2312" w:cs="仿宋_GB2312"/>
          <w:b w:val="0"/>
          <w:bCs w:val="0"/>
          <w:color w:val="auto"/>
          <w:sz w:val="32"/>
          <w:szCs w:val="32"/>
          <w:lang w:val="en-US" w:eastAsia="zh-CN"/>
        </w:rPr>
        <w:t>；</w:t>
      </w:r>
    </w:p>
    <w:p w14:paraId="1E6E094A">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15.</w:t>
      </w:r>
      <w:r>
        <w:rPr>
          <w:rFonts w:hint="eastAsia" w:ascii="仿宋_GB2312" w:hAnsi="仿宋_GB2312" w:eastAsia="仿宋_GB2312" w:cs="仿宋_GB2312"/>
          <w:b w:val="0"/>
          <w:bCs w:val="0"/>
          <w:color w:val="auto"/>
          <w:sz w:val="32"/>
          <w:szCs w:val="32"/>
        </w:rPr>
        <w:t>电极板温度：38℃</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55℃,多档可调，允差±</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℃。加热功能可单独开启及关闭</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具有漏电保护、过载保护，短路保护功能</w:t>
      </w:r>
      <w:r>
        <w:rPr>
          <w:rFonts w:hint="eastAsia" w:ascii="仿宋_GB2312" w:hAnsi="仿宋_GB2312" w:eastAsia="仿宋_GB2312" w:cs="仿宋_GB2312"/>
          <w:b w:val="0"/>
          <w:bCs w:val="0"/>
          <w:color w:val="auto"/>
          <w:sz w:val="32"/>
          <w:szCs w:val="32"/>
          <w:lang w:val="en-US" w:eastAsia="zh-CN"/>
        </w:rPr>
        <w:t>；</w:t>
      </w:r>
    </w:p>
    <w:p w14:paraId="62534345">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16.</w:t>
      </w:r>
      <w:r>
        <w:rPr>
          <w:rFonts w:hint="eastAsia" w:ascii="仿宋_GB2312" w:hAnsi="仿宋_GB2312" w:eastAsia="仿宋_GB2312" w:cs="仿宋_GB2312"/>
          <w:b w:val="0"/>
          <w:bCs w:val="0"/>
          <w:color w:val="auto"/>
          <w:sz w:val="32"/>
          <w:szCs w:val="32"/>
        </w:rPr>
        <w:t>治疗时间根据处方不同</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治疗时间到了有音响提示，并停止输出，时间允差±1min</w:t>
      </w:r>
      <w:r>
        <w:rPr>
          <w:rFonts w:hint="eastAsia" w:ascii="仿宋_GB2312" w:hAnsi="仿宋_GB2312" w:eastAsia="仿宋_GB2312" w:cs="仿宋_GB2312"/>
          <w:b w:val="0"/>
          <w:bCs w:val="0"/>
          <w:color w:val="auto"/>
          <w:sz w:val="32"/>
          <w:szCs w:val="32"/>
          <w:lang w:val="en-US" w:eastAsia="zh-CN"/>
        </w:rPr>
        <w:t>；</w:t>
      </w:r>
    </w:p>
    <w:p w14:paraId="2420F12A">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仿宋_GB2312" w:hAnsi="仿宋_GB2312" w:eastAsia="仿宋_GB2312" w:cs="仿宋_GB2312"/>
          <w:b w:val="0"/>
          <w:bCs w:val="0"/>
          <w:vanish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17.</w:t>
      </w:r>
      <w:r>
        <w:rPr>
          <w:rFonts w:hint="eastAsia" w:ascii="仿宋_GB2312" w:hAnsi="仿宋_GB2312" w:eastAsia="仿宋_GB2312" w:cs="仿宋_GB2312"/>
          <w:b w:val="0"/>
          <w:bCs w:val="0"/>
          <w:color w:val="auto"/>
          <w:sz w:val="32"/>
          <w:szCs w:val="32"/>
        </w:rPr>
        <w:t>连续工作时间：治疗仪连续工作时间应能</w:t>
      </w:r>
      <w:r>
        <w:rPr>
          <w:rFonts w:hint="eastAsia" w:ascii="仿宋_GB2312" w:hAnsi="仿宋_GB2312" w:eastAsia="仿宋_GB2312" w:cs="仿宋_GB2312"/>
          <w:b w:val="0"/>
          <w:bCs w:val="0"/>
          <w:color w:val="auto"/>
          <w:sz w:val="32"/>
          <w:szCs w:val="32"/>
        </w:rPr>
        <w:t>≥4h</w:t>
      </w:r>
      <w:r>
        <w:rPr>
          <w:rFonts w:hint="eastAsia" w:ascii="仿宋_GB2312" w:hAnsi="仿宋_GB2312" w:eastAsia="仿宋_GB2312" w:cs="仿宋_GB2312"/>
          <w:b w:val="0"/>
          <w:bCs w:val="0"/>
          <w:color w:val="auto"/>
          <w:sz w:val="32"/>
          <w:szCs w:val="32"/>
          <w:lang w:eastAsia="zh-CN"/>
        </w:rPr>
        <w:t>。</w:t>
      </w:r>
    </w:p>
    <w:p w14:paraId="0AA3CD92">
      <w:pPr>
        <w:keepNext w:val="0"/>
        <w:keepLines w:val="0"/>
        <w:pageBreakBefore w:val="0"/>
        <w:widowControl w:val="0"/>
        <w:kinsoku w:val="0"/>
        <w:wordWrap/>
        <w:overflowPunct w:val="0"/>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配置清单：</w:t>
      </w:r>
    </w:p>
    <w:p w14:paraId="0580168B">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主机1台</w:t>
      </w:r>
      <w:r>
        <w:rPr>
          <w:rFonts w:hint="eastAsia" w:ascii="仿宋_GB2312" w:hAnsi="仿宋_GB2312" w:eastAsia="仿宋_GB2312" w:cs="仿宋_GB2312"/>
          <w:b w:val="0"/>
          <w:bCs w:val="0"/>
          <w:color w:val="auto"/>
          <w:sz w:val="32"/>
          <w:szCs w:val="32"/>
          <w:lang w:val="en-US" w:eastAsia="zh-CN"/>
        </w:rPr>
        <w:t>；</w:t>
      </w:r>
    </w:p>
    <w:p w14:paraId="6D088786">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电源线1根</w:t>
      </w:r>
      <w:r>
        <w:rPr>
          <w:rFonts w:hint="eastAsia" w:ascii="仿宋_GB2312" w:hAnsi="仿宋_GB2312" w:eastAsia="仿宋_GB2312" w:cs="仿宋_GB2312"/>
          <w:b w:val="0"/>
          <w:bCs w:val="0"/>
          <w:color w:val="auto"/>
          <w:sz w:val="32"/>
          <w:szCs w:val="32"/>
          <w:lang w:val="en-US" w:eastAsia="zh-CN"/>
        </w:rPr>
        <w:t>；</w:t>
      </w:r>
    </w:p>
    <w:p w14:paraId="02D23872">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电极导线4根</w:t>
      </w:r>
      <w:r>
        <w:rPr>
          <w:rFonts w:hint="eastAsia" w:ascii="仿宋_GB2312" w:hAnsi="仿宋_GB2312" w:eastAsia="仿宋_GB2312" w:cs="仿宋_GB2312"/>
          <w:b w:val="0"/>
          <w:bCs w:val="0"/>
          <w:color w:val="auto"/>
          <w:sz w:val="32"/>
          <w:szCs w:val="32"/>
          <w:lang w:val="en-US" w:eastAsia="zh-CN"/>
        </w:rPr>
        <w:t>；</w:t>
      </w:r>
    </w:p>
    <w:p w14:paraId="6DEC6D0B">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离子输出线2根</w:t>
      </w:r>
      <w:r>
        <w:rPr>
          <w:rFonts w:hint="eastAsia" w:ascii="仿宋_GB2312" w:hAnsi="仿宋_GB2312" w:eastAsia="仿宋_GB2312" w:cs="仿宋_GB2312"/>
          <w:b w:val="0"/>
          <w:bCs w:val="0"/>
          <w:color w:val="auto"/>
          <w:sz w:val="32"/>
          <w:szCs w:val="32"/>
          <w:lang w:val="en-US" w:eastAsia="zh-CN"/>
        </w:rPr>
        <w:t>；</w:t>
      </w:r>
    </w:p>
    <w:p w14:paraId="1F2AE7E6">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电极板8片</w:t>
      </w:r>
      <w:r>
        <w:rPr>
          <w:rFonts w:hint="eastAsia" w:ascii="仿宋_GB2312" w:hAnsi="仿宋_GB2312" w:eastAsia="仿宋_GB2312" w:cs="仿宋_GB2312"/>
          <w:b w:val="0"/>
          <w:bCs w:val="0"/>
          <w:color w:val="auto"/>
          <w:sz w:val="32"/>
          <w:szCs w:val="32"/>
          <w:lang w:val="en-US" w:eastAsia="zh-CN"/>
        </w:rPr>
        <w:t>；</w:t>
      </w:r>
    </w:p>
    <w:p w14:paraId="244DFA81">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布垫8个</w:t>
      </w:r>
      <w:r>
        <w:rPr>
          <w:rFonts w:hint="eastAsia" w:ascii="仿宋_GB2312" w:hAnsi="仿宋_GB2312" w:eastAsia="仿宋_GB2312" w:cs="仿宋_GB2312"/>
          <w:b w:val="0"/>
          <w:bCs w:val="0"/>
          <w:color w:val="auto"/>
          <w:sz w:val="32"/>
          <w:szCs w:val="32"/>
          <w:lang w:val="en-US" w:eastAsia="zh-CN"/>
        </w:rPr>
        <w:t>；</w:t>
      </w:r>
    </w:p>
    <w:p w14:paraId="50CD0C3E">
      <w:pPr>
        <w:pStyle w:val="6"/>
        <w:keepNext w:val="0"/>
        <w:keepLines w:val="0"/>
        <w:pageBreakBefore w:val="0"/>
        <w:widowControl w:val="0"/>
        <w:kinsoku w:val="0"/>
        <w:wordWrap/>
        <w:overflowPunct w:val="0"/>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绑带8条</w:t>
      </w:r>
      <w:r>
        <w:rPr>
          <w:rFonts w:hint="eastAsia" w:ascii="仿宋_GB2312" w:hAnsi="仿宋_GB2312" w:eastAsia="仿宋_GB2312" w:cs="仿宋_GB2312"/>
          <w:b w:val="0"/>
          <w:bCs w:val="0"/>
          <w:color w:val="auto"/>
          <w:sz w:val="32"/>
          <w:szCs w:val="32"/>
          <w:lang w:eastAsia="zh-CN"/>
        </w:rPr>
        <w:t>。</w:t>
      </w:r>
    </w:p>
    <w:p w14:paraId="7318F1FC">
      <w:pPr>
        <w:pStyle w:val="8"/>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val="0"/>
        <w:wordWrap/>
        <w:overflowPunct w:val="0"/>
        <w:topLinePunct w:val="0"/>
        <w:autoSpaceDE/>
        <w:autoSpaceDN/>
        <w:bidi w:val="0"/>
        <w:adjustRightInd/>
        <w:snapToGrid w:val="0"/>
        <w:spacing w:before="0" w:beforeLines="0" w:beforeAutospacing="0" w:after="0" w:afterLines="0" w:afterAutospacing="0" w:line="560" w:lineRule="exact"/>
        <w:ind w:firstLine="640" w:firstLineChars="200"/>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三、中药熏蒸机（双头）</w:t>
      </w:r>
    </w:p>
    <w:p w14:paraId="4DB6E58B">
      <w:pPr>
        <w:keepNext w:val="0"/>
        <w:keepLines w:val="0"/>
        <w:pageBreakBefore w:val="0"/>
        <w:widowControl/>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lang w:val="en-US" w:eastAsia="zh-CN"/>
        </w:rPr>
        <w:t>1.</w:t>
      </w:r>
      <w:r>
        <w:rPr>
          <w:rFonts w:hint="eastAsia" w:ascii="仿宋_GB2312" w:hAnsi="仿宋_GB2312" w:eastAsia="仿宋_GB2312" w:cs="仿宋_GB2312"/>
          <w:color w:val="auto"/>
          <w:sz w:val="32"/>
          <w:szCs w:val="32"/>
          <w:lang w:val="en-US" w:eastAsia="zh-CN"/>
        </w:rPr>
        <w:t>适用于医疗机构对患者进行局部熏蒸治疗，可配合药液，缓解肌肉酸痛、促进血液循环。</w:t>
      </w:r>
    </w:p>
    <w:p w14:paraId="393CD7A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▲通道数：双通道（二个喷头），两个通道支持分别进行设置。</w:t>
      </w:r>
    </w:p>
    <w:p w14:paraId="3A076FB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3.蒸汽发生器锅体正常加药量:&gt;4L。</w:t>
      </w:r>
    </w:p>
    <w:p w14:paraId="738BDEA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4.输入功率:≥1900VA。</w:t>
      </w:r>
    </w:p>
    <w:p w14:paraId="56156A9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5.蒸汽压力检测功能：</w:t>
      </w:r>
    </w:p>
    <w:p w14:paraId="65DFCA9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5.1.压力设置范围15kPa~40kPa,步进≤2kPa。。</w:t>
      </w:r>
    </w:p>
    <w:p w14:paraId="3343A440">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5.2.设备具有检测蒸汽压力功能，并实时显示。</w:t>
      </w:r>
    </w:p>
    <w:p w14:paraId="5E88898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药液蒸汽能自动从喷头均匀喷出，仪器在熏蒸治疗过程中，须保持气压的稳定。</w:t>
      </w:r>
    </w:p>
    <w:p w14:paraId="390029A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5.4.具有超压保护功能，蒸汽压力超过工作压力上限20%时，设备停止加热，并有声光提示。</w:t>
      </w:r>
    </w:p>
    <w:p w14:paraId="3E05C9C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6.熏蒸时间定时范围应为1min-99min,步长为1min。治疗结束停止输出时，有声光提示。</w:t>
      </w:r>
    </w:p>
    <w:p w14:paraId="07D3865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7.▲熏蒸温度：具有传感器检测皮肤温度及实时显示功能，且检测精度±1℃。具有超温警告功能，皮肤温度超过45℃时，设备有蜂鸣器声音提示。</w:t>
      </w:r>
    </w:p>
    <w:p w14:paraId="1887488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8.至少具有普通和强弱两种不同的治疗模式，可根据不同病情患者需要选择合的压力变化，提高疗效。</w:t>
      </w:r>
    </w:p>
    <w:p w14:paraId="2C9E385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9.具备预热功能，预热温度设置范围40℃~90℃,开始治疗前设备预热到设置温度并保持。</w:t>
      </w:r>
    </w:p>
    <w:p w14:paraId="23FA534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10.配备可调节方向的多关节支臂，连接360°旋转喷头，可全方位灵活调整熏蒸角度，确保精准聚焦熏蒸部位。</w:t>
      </w:r>
    </w:p>
    <w:p w14:paraId="4269EEA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11.至少具有两种排液方式，即自动排液和手动排液。两种排液方式相互独立，灵活便捷，使用更方便。</w:t>
      </w:r>
    </w:p>
    <w:p w14:paraId="1DA4BAA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12.排水系统具有保护装置，避免设备移动过程中造成人体及设备的损伤。</w:t>
      </w:r>
    </w:p>
    <w:p w14:paraId="2717554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13.配备≥2层过滤，可有效过滤液体杂质，减少锅体的清洁难度，延长蒸汽发生器的使用寿命。</w:t>
      </w:r>
    </w:p>
    <w:p w14:paraId="56765B5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14.设备具备两路独立超温保护功能。</w:t>
      </w:r>
    </w:p>
    <w:p w14:paraId="7CB8070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15.▲皮肤温度超过42℃-45℃范围时，第一路保护功能启动，停止加热，当皮肤温度降低到安全阈值以下后自动恢复加热。若第一路保护功能失效，皮肤温度升高到不超过50℃时，第二路保护功能启动，切断加热器电源，并有声光提示。</w:t>
      </w:r>
    </w:p>
    <w:p w14:paraId="018B0F0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16.</w:t>
      </w:r>
      <w:r>
        <w:rPr>
          <w:rFonts w:hint="eastAsia" w:ascii="仿宋_GB2312" w:hAnsi="仿宋_GB2312" w:eastAsia="仿宋_GB2312" w:cs="仿宋_GB2312"/>
          <w:color w:val="auto"/>
          <w:sz w:val="32"/>
          <w:szCs w:val="32"/>
        </w:rPr>
        <w:t>按键操作、预热完成、恒温结束、治疗结束、缺液、高温、超温时具有声音提示。</w:t>
      </w:r>
    </w:p>
    <w:p w14:paraId="76D5BE98">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17.设备具有防干烧功能，当蒸汽发生器内没有液体时不能加热，并有声光提示。</w:t>
      </w:r>
    </w:p>
    <w:p w14:paraId="54DDA11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18.具有液位上限提示功能，液位超过最高液位线时，设备有声光提示。</w:t>
      </w:r>
    </w:p>
    <w:p w14:paraId="084E3CC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仪器须具备停止治疗后，蒸汽立即停止输出功能。</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.当容器内药液低于安全液位时，停止加热并伴有显示与声音提示。</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.机器内部药箱部分和电路显示部分采用分体设计，并做到隔离。确保电气安全符合相关国家标准要求。</w:t>
      </w:r>
    </w:p>
    <w:p w14:paraId="354959A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22.锅体材质应采用与药液接触符合医用级要求的不锈钢或其他耐腐蚀材料，加热过程不产生有害物质，</w:t>
      </w:r>
      <w:r>
        <w:rPr>
          <w:rFonts w:hint="eastAsia" w:ascii="仿宋_GB2312" w:hAnsi="仿宋_GB2312" w:eastAsia="仿宋_GB2312" w:cs="仿宋_GB2312"/>
          <w:color w:val="auto"/>
          <w:sz w:val="32"/>
          <w:szCs w:val="32"/>
          <w:lang w:val="en-US" w:eastAsia="zh-CN"/>
        </w:rPr>
        <w:t>确保蒸汽纯净。</w:t>
      </w:r>
    </w:p>
    <w:bookmarkEnd w:id="0"/>
    <w:sectPr>
      <w:headerReference r:id="rId5" w:type="first"/>
      <w:headerReference r:id="rId3" w:type="default"/>
      <w:headerReference r:id="rId4" w:type="even"/>
      <w:pgSz w:w="11907" w:h="16839"/>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B0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41636">
    <w:r>
      <w:pict>
        <v:shape id="WordPictureWatermark1025" o:spid="_x0000_s4099" o:spt="75" type="#_x0000_t75" style="position:absolute;left:0pt;height:657.75pt;width:4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3F3C5">
    <w:r>
      <w:pict>
        <v:shape id="WordPictureWatermark1027" o:spid="_x0000_s4097" o:spt="75" type="#_x0000_t75" style="position:absolute;left:0pt;height:657.75pt;width:46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Q1Yjc5NzMyY2FiYWY4MzIxMGE3ZjRjYmRkYTY1ZjkifQ=="/>
  </w:docVars>
  <w:rsids>
    <w:rsidRoot w:val="00000000"/>
    <w:rsid w:val="00EA307D"/>
    <w:rsid w:val="011D2710"/>
    <w:rsid w:val="01E7687A"/>
    <w:rsid w:val="02111B48"/>
    <w:rsid w:val="04934A97"/>
    <w:rsid w:val="08444A26"/>
    <w:rsid w:val="09151F1E"/>
    <w:rsid w:val="103435D2"/>
    <w:rsid w:val="10347D3E"/>
    <w:rsid w:val="109B71AD"/>
    <w:rsid w:val="12D90460"/>
    <w:rsid w:val="177E7E8A"/>
    <w:rsid w:val="18351C95"/>
    <w:rsid w:val="18C354F3"/>
    <w:rsid w:val="1B1E2EB4"/>
    <w:rsid w:val="21162880"/>
    <w:rsid w:val="217F6677"/>
    <w:rsid w:val="220A4192"/>
    <w:rsid w:val="230E7CB2"/>
    <w:rsid w:val="2AB949A8"/>
    <w:rsid w:val="2DCC49F2"/>
    <w:rsid w:val="2E644C2A"/>
    <w:rsid w:val="2F3E3E3E"/>
    <w:rsid w:val="317A4765"/>
    <w:rsid w:val="31B934DF"/>
    <w:rsid w:val="31E3055C"/>
    <w:rsid w:val="368220F2"/>
    <w:rsid w:val="36C97D20"/>
    <w:rsid w:val="36FC0A51"/>
    <w:rsid w:val="37D746BF"/>
    <w:rsid w:val="3925145A"/>
    <w:rsid w:val="3AD1324B"/>
    <w:rsid w:val="3BA40D5C"/>
    <w:rsid w:val="402E5098"/>
    <w:rsid w:val="4A1307A4"/>
    <w:rsid w:val="4AE271AB"/>
    <w:rsid w:val="4E2B2C17"/>
    <w:rsid w:val="516A7EFA"/>
    <w:rsid w:val="51772389"/>
    <w:rsid w:val="525B7633"/>
    <w:rsid w:val="5349426B"/>
    <w:rsid w:val="56413C83"/>
    <w:rsid w:val="57BC236F"/>
    <w:rsid w:val="5AE97091"/>
    <w:rsid w:val="5B3F7D02"/>
    <w:rsid w:val="5C113DF3"/>
    <w:rsid w:val="5ECD5BBF"/>
    <w:rsid w:val="612A5A76"/>
    <w:rsid w:val="63A85D27"/>
    <w:rsid w:val="651E166B"/>
    <w:rsid w:val="65404DA2"/>
    <w:rsid w:val="65BF660F"/>
    <w:rsid w:val="68356714"/>
    <w:rsid w:val="687E455F"/>
    <w:rsid w:val="68E16EF6"/>
    <w:rsid w:val="6B362ECF"/>
    <w:rsid w:val="6C2134DD"/>
    <w:rsid w:val="6C585FC7"/>
    <w:rsid w:val="6CBF0CA2"/>
    <w:rsid w:val="6DE73CDD"/>
    <w:rsid w:val="6E3C0183"/>
    <w:rsid w:val="700B7314"/>
    <w:rsid w:val="71C54FAD"/>
    <w:rsid w:val="727F58A9"/>
    <w:rsid w:val="72BD5C84"/>
    <w:rsid w:val="76F459ED"/>
    <w:rsid w:val="77B70EF4"/>
    <w:rsid w:val="7C9712F4"/>
    <w:rsid w:val="7DCC321F"/>
    <w:rsid w:val="7DD943F1"/>
    <w:rsid w:val="7ECF1219"/>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4">
    <w:name w:val="Table Grid"/>
    <w:basedOn w:val="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
    <w:name w:val="产品名"/>
    <w:basedOn w:val="1"/>
    <w:qFormat/>
    <w:uiPriority w:val="0"/>
    <w:rPr>
      <w:rFonts w:ascii="宋体" w:hAnsi="宋体" w:eastAsia="宋体" w:cs="宋体"/>
      <w:b/>
      <w:sz w:val="36"/>
    </w:rPr>
  </w:style>
  <w:style w:type="paragraph" w:customStyle="1" w:styleId="7">
    <w:name w:val="产品相关信息"/>
    <w:basedOn w:val="1"/>
    <w:qFormat/>
    <w:uiPriority w:val="0"/>
    <w:pPr>
      <w:spacing w:line="360" w:lineRule="exact"/>
    </w:pPr>
    <w:rPr>
      <w:rFonts w:ascii="宋体" w:hAnsi="宋体" w:eastAsia="宋体" w:cs="宋体"/>
    </w:rPr>
  </w:style>
  <w:style w:type="paragraph" w:customStyle="1" w:styleId="8">
    <w:name w:val="参数正文"/>
    <w:basedOn w:val="1"/>
    <w:qFormat/>
    <w:uiPriority w:val="0"/>
    <w:pPr>
      <w:wordWrap/>
      <w:spacing w:before="0" w:beforeLines="0" w:beforeAutospacing="1" w:after="0" w:afterLines="0" w:afterAutospacing="1" w:line="240" w:lineRule="auto"/>
    </w:pPr>
    <w:rPr>
      <w:rFonts w:ascii="宋体" w:hAnsi="宋体"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2770</Words>
  <Characters>3027</Characters>
  <TotalTime>42</TotalTime>
  <ScaleCrop>false</ScaleCrop>
  <LinksUpToDate>false</LinksUpToDate>
  <CharactersWithSpaces>3039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2026-07-10T17:18:00Z</dcterms:created>
  <dc:creator>13765580762</dc:creator>
  <cp:lastModifiedBy>正在输入...</cp:lastModifiedBy>
  <dcterms:modified xsi:type="dcterms:W3CDTF">2026-07-29T00:25:25Z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55E04AA427F2447A8156F3B1284A8D27_12</vt:lpwstr>
  </property>
  <property fmtid="{D5CDD505-2E9C-101B-9397-08002B2CF9AE}" pid="4" name="KSOTemplateDocerSaveRecord">
    <vt:lpwstr>eyJoZGlkIjoiMTFkY2YzZTQ3NjQ1NTkzNmNhMGZkZjIxNTQ0MDhlZTIiLCJ1c2VySWQiOiI0NTA5MDAwNzAifQ==</vt:lpwstr>
  </property>
</Properties>
</file>